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40" w:rsidRDefault="004E5740" w:rsidP="004E5740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審計部臺灣省嘉義縣審計室審核決算審定</w:t>
      </w:r>
      <w:r>
        <w:rPr>
          <w:rFonts w:ascii="標楷體" w:eastAsia="標楷體" w:hint="eastAsia"/>
          <w:b/>
          <w:sz w:val="40"/>
        </w:rPr>
        <w:t>書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4E5740" w:rsidTr="00A5671D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</w:p>
        </w:tc>
      </w:tr>
      <w:tr w:rsidR="004E5740" w:rsidTr="00A5671D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嘉義縣議會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9C5A1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09 年 4 月 30 日 府主帳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字第 10900930</w:t>
            </w:r>
            <w:r w:rsidRPr="009C5A1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6 號</w:t>
            </w:r>
          </w:p>
        </w:tc>
      </w:tr>
      <w:tr w:rsidR="004E5740" w:rsidTr="00A5671D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108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4E5740" w:rsidTr="00A5671D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4E5740" w:rsidTr="00A5671D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1,975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1,975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1,975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1,975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1,069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1,069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1,069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38,369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38,369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38,369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38,369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41,413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41,413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41,413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41,413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88,818,000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71,279,411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71,279,411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71,279,411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71,279,411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議事業務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123,597,000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109,868,808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109,868,808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109,868,808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109,868,808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第一預備金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1,000,000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8,890,000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1,186,588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1,516,000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2,702,588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1,186,588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1,516,000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2,702,588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222,305,000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182,334,807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1,516,000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183,850,807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182,334,807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1,516,000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8"/>
              </w:rPr>
              <w:t>183,850,807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4E5740" w:rsidTr="00A5671D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4E5740" w:rsidTr="00A5671D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E5740" w:rsidRDefault="004E5740" w:rsidP="00920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92066E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4E5740" w:rsidRDefault="004E5740" w:rsidP="004E5740">
      <w:pPr>
        <w:rPr>
          <w:rFonts w:ascii="標楷體" w:eastAsia="標楷體"/>
        </w:rPr>
      </w:pPr>
    </w:p>
    <w:p w:rsidR="004E5740" w:rsidRPr="004D3B1A" w:rsidRDefault="004E5740" w:rsidP="004E5740"/>
    <w:p w:rsidR="004E5740" w:rsidRDefault="004E5740" w:rsidP="004E5740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審計部臺灣省嘉義縣審計室審核決算審定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4E5740" w:rsidTr="00A5671D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  字第  號</w:t>
            </w:r>
          </w:p>
        </w:tc>
      </w:tr>
      <w:tr w:rsidR="004E5740" w:rsidTr="00A5671D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嘉義縣議會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3B4F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09 年 4 月 30 日 府主帳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字第 10900930</w:t>
            </w:r>
            <w:r w:rsidRPr="003B4FD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6 號</w:t>
            </w:r>
          </w:p>
        </w:tc>
      </w:tr>
      <w:tr w:rsidR="004E5740" w:rsidTr="00A5671D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108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4E5740" w:rsidTr="00A5671D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4E5740" w:rsidTr="00A5671D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4E5740" w:rsidRDefault="004E5740" w:rsidP="00A5671D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4E5740" w:rsidTr="00A5671D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4E5740" w:rsidTr="00A5671D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E5740" w:rsidRDefault="004E5740" w:rsidP="00A5671D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4E5740" w:rsidRDefault="004E5740" w:rsidP="00A5671D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E5740" w:rsidRDefault="004E5740" w:rsidP="00A5671D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101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議事業務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73,644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14,976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58,668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14,976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58,668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73,644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14,976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58,668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14,976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/>
                <w:noProof/>
                <w:spacing w:val="-10"/>
                <w:sz w:val="16"/>
              </w:rPr>
              <w:t>58,668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  <w:r w:rsidRPr="00777F0F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5740" w:rsidRDefault="004E5740" w:rsidP="00A5671D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E5740" w:rsidRDefault="004E5740" w:rsidP="00A5671D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4E5740" w:rsidTr="00A567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740" w:rsidRDefault="004E5740" w:rsidP="00A567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4E5740" w:rsidTr="00A567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E5740" w:rsidRDefault="004E5740" w:rsidP="00920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92066E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4E5740" w:rsidRDefault="004E5740" w:rsidP="004E5740">
      <w:pPr>
        <w:rPr>
          <w:rFonts w:ascii="標楷體" w:eastAsia="標楷體"/>
        </w:rPr>
      </w:pPr>
    </w:p>
    <w:p w:rsidR="004E5740" w:rsidRPr="00933CC6" w:rsidRDefault="004E5740" w:rsidP="004E5740"/>
    <w:sectPr w:rsidR="004E5740" w:rsidRPr="00933CC6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0"/>
    <w:rsid w:val="00144414"/>
    <w:rsid w:val="004E5740"/>
    <w:rsid w:val="00805460"/>
    <w:rsid w:val="0092066E"/>
    <w:rsid w:val="009D3879"/>
    <w:rsid w:val="00E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4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4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3KjnmP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3KjnmP審定書.dot</Template>
  <TotalTime>7</TotalTime>
  <Pages>2</Pages>
  <Words>293</Words>
  <Characters>1673</Characters>
  <Application>Microsoft Office Word</Application>
  <DocSecurity>0</DocSecurity>
  <Lines>13</Lines>
  <Paragraphs>3</Paragraphs>
  <ScaleCrop>false</ScaleCrop>
  <Company>N.A.O.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creator>蘇怡瑜</dc:creator>
  <cp:lastModifiedBy>chingyi_蔡靜儀</cp:lastModifiedBy>
  <cp:revision>2</cp:revision>
  <cp:lastPrinted>2020-08-12T08:16:00Z</cp:lastPrinted>
  <dcterms:created xsi:type="dcterms:W3CDTF">2020-10-05T07:42:00Z</dcterms:created>
  <dcterms:modified xsi:type="dcterms:W3CDTF">2020-10-05T07:42:00Z</dcterms:modified>
</cp:coreProperties>
</file>